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91" w:rsidRPr="005D1391" w:rsidRDefault="005D1391" w:rsidP="005D1391">
      <w:pPr>
        <w:shd w:val="clear" w:color="auto" w:fill="EEF2F5"/>
        <w:spacing w:after="450" w:line="240" w:lineRule="auto"/>
        <w:textAlignment w:val="baseline"/>
        <w:outlineLvl w:val="0"/>
        <w:rPr>
          <w:rFonts w:ascii="PT Astra Serif" w:eastAsia="Times New Roman" w:hAnsi="PT Astra Serif" w:cs="Arial"/>
          <w:b/>
          <w:bCs/>
          <w:color w:val="010101"/>
          <w:kern w:val="36"/>
          <w:sz w:val="44"/>
          <w:szCs w:val="44"/>
          <w:lang w:eastAsia="ru-RU"/>
        </w:rPr>
      </w:pPr>
      <w:r w:rsidRPr="005D1391">
        <w:rPr>
          <w:rFonts w:ascii="PT Astra Serif" w:eastAsia="Times New Roman" w:hAnsi="PT Astra Serif" w:cs="Arial"/>
          <w:b/>
          <w:bCs/>
          <w:color w:val="010101"/>
          <w:kern w:val="36"/>
          <w:sz w:val="44"/>
          <w:szCs w:val="44"/>
          <w:lang w:eastAsia="ru-RU"/>
        </w:rPr>
        <w:t>НОВОСТИ ЗАКОНОДАТЕЛЬСТВА О ЗАКУПКАХ (44-ФЗ) за период с 9 апреля по 12 мая 2020 года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Внесены антикризисные поправки в Закон № 44-ФЗ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17 апреля 2020 года подписан федеральный закон о внесении изменений в Закон № 44-ФЗ. Предусмотрено расширение возможностей для проведения малых закупок, смягчение </w:t>
      </w:r>
      <w:proofErr w:type="gramStart"/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правил установления обеспечения исполнения контракта</w:t>
      </w:r>
      <w:proofErr w:type="gramEnd"/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 гарантийных обязательств, перенос сроков вступления в силу нововведений в электронных закупках, а также ряд других изменений.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 24 апреля 2020 года вступили в силу следующие изменения:</w:t>
      </w:r>
    </w:p>
    <w:p w:rsidR="005D1391" w:rsidRPr="005D1391" w:rsidRDefault="005D1391" w:rsidP="005D1391">
      <w:pPr>
        <w:numPr>
          <w:ilvl w:val="0"/>
          <w:numId w:val="1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увеличен порог осуществления закупки у единственного поставщика до 600 тыс. рублей (ранее 300 тыс. рублей). Также увеличен предельный годовой объем закупки у единственного поставщика – он должен составлять не более 10% совокупного годового объема закупок заказчика (ранее – не более 5%). Предельные значения в рублевом выражении остались без изменений: годовой объем 2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 или 10% совокупного годового объема и не более 50 млн рублей;</w:t>
      </w:r>
    </w:p>
    <w:p w:rsidR="005D1391" w:rsidRPr="005D1391" w:rsidRDefault="005D1391" w:rsidP="005D1391">
      <w:pPr>
        <w:numPr>
          <w:ilvl w:val="0"/>
          <w:numId w:val="1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расширен перечень условий контракта, которые в 2020 году можно изменить по соглашению сторон (в связи с независящими от сторон контракта обстоятельствами, влекущими невозможность его исполнения). Изменить существенные условия контракта теперь можно не только в части цены и срока исполнения контракта, но и в части размера аванса (если он был предусмотрен контрактом). При этом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отличие от случаев изменения цены и срока исполнения контракта, при изменении размера аванса не потребуется обоснование таких изменений;</w:t>
      </w:r>
    </w:p>
    <w:p w:rsidR="005D1391" w:rsidRPr="005D1391" w:rsidRDefault="005D1391" w:rsidP="005D1391">
      <w:pPr>
        <w:numPr>
          <w:ilvl w:val="0"/>
          <w:numId w:val="1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перенесены сроки вступления в силу изменений, внесенных ранее в Закон № 44-ФЗ:</w:t>
      </w:r>
    </w:p>
    <w:p w:rsidR="005D1391" w:rsidRPr="005D1391" w:rsidRDefault="005D1391" w:rsidP="005D1391">
      <w:pPr>
        <w:numPr>
          <w:ilvl w:val="0"/>
          <w:numId w:val="2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новый порядок проведения электронного запроса котировок вступит в силу с 01.10.2020 (вместо 01.07.2020);</w:t>
      </w:r>
    </w:p>
    <w:p w:rsidR="005D1391" w:rsidRPr="005D1391" w:rsidRDefault="005D1391" w:rsidP="005D1391">
      <w:pPr>
        <w:numPr>
          <w:ilvl w:val="0"/>
          <w:numId w:val="2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новая процедура закупок у единственного поставщика в электронной форме заработает также с 01.10.2020 (вместо 01.07.2020); при этом агрегирование в ЕИС всех предварительных предложений, размещенных участниками закупок на электронных площадках, заработает с 01.07.2021 (вместо 01.01.2021).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Также в процедуру закупок у единственного поставщика в электронной форме внесены некоторые корректировки.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 1 июля 2020 года вступают в силу следующие изменения:</w:t>
      </w:r>
    </w:p>
    <w:p w:rsidR="005D1391" w:rsidRPr="005D1391" w:rsidRDefault="005D1391" w:rsidP="005D1391">
      <w:pPr>
        <w:numPr>
          <w:ilvl w:val="0"/>
          <w:numId w:val="3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установление обеспечения гарантийных обязатель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ств ст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ановится правом, а не обязанностью заказчика. Заказчик вправе установить такое обеспечение, если документацией (контрактом) предусмотрены требования к гарантийным обязательствам. Размер обеспечения гарантийных обязательств по-прежнему не может превышать 10% НМЦК;</w:t>
      </w:r>
    </w:p>
    <w:p w:rsidR="005D1391" w:rsidRPr="005D1391" w:rsidRDefault="005D1391" w:rsidP="005D1391">
      <w:pPr>
        <w:numPr>
          <w:ilvl w:val="0"/>
          <w:numId w:val="3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уменьшено минимальное значение обеспечения исполнения контракта, устанавливаемое заказчиком. Теперь обеспечение исполнения можно установить в диапазоне от 0,5 до 30 % НМЦК (ранее – от 5 до 30 % НМЦК). Если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НМЦК, уменьшенной на размер такого аванса.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Новые нормы Закона № 44-ФЗ, вступающие в силу с 1 июля 2020 года, по соглашению сторон контракта можно распространить на контракт, заключенный до указанной даты.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 1 января 2021 года вступают в силу следующие изменения:</w:t>
      </w:r>
    </w:p>
    <w:p w:rsidR="005D1391" w:rsidRPr="005D1391" w:rsidRDefault="005D1391" w:rsidP="005D1391">
      <w:pPr>
        <w:numPr>
          <w:ilvl w:val="0"/>
          <w:numId w:val="4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комиссия заказчика будет обязана проверять участника закупки – юридическое лицо на предмет привлечения его к административной ответственности по статьи 19.28 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КоАП РФ (незаконное вознаграждение от имени юридического лица) в течение двух лет до подачи заявки (сейчас это право заказчика).</w:t>
      </w:r>
    </w:p>
    <w:p w:rsidR="005D1391" w:rsidRPr="005D1391" w:rsidRDefault="005D1391" w:rsidP="005D1391">
      <w:pPr>
        <w:numPr>
          <w:ilvl w:val="0"/>
          <w:numId w:val="4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будет применяться единый срок вступления в силу изменений, вносимых в Закон № 44-ФЗ. Все изменения, касающиеся планирования закупок, определения поставщиков (подрядчиков, исполнителей), в том числе установления новых способов определения поставщиков, а также изменения, касающиеся контроля, мониторинга и аудита в сфере закупок будут вступать в силу в следующие сроки:</w:t>
      </w:r>
    </w:p>
    <w:p w:rsidR="005D1391" w:rsidRPr="005D1391" w:rsidRDefault="005D1391" w:rsidP="005D1391">
      <w:pPr>
        <w:numPr>
          <w:ilvl w:val="0"/>
          <w:numId w:val="5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 1 января очередного календарного года, следующего за годом их принятия – по общему правилу;</w:t>
      </w:r>
    </w:p>
    <w:p w:rsidR="005D1391" w:rsidRPr="005D1391" w:rsidRDefault="005D1391" w:rsidP="005D1391">
      <w:pPr>
        <w:numPr>
          <w:ilvl w:val="0"/>
          <w:numId w:val="5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 1 января года, следующего за очередным календарным годом – в случае принятия таких изменений после 1 октября текущего календарного года.</w:t>
      </w:r>
    </w:p>
    <w:p w:rsid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6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17.04.2020 № 124-ФЗ</w:t>
        </w:r>
      </w:hyperlink>
    </w:p>
    <w:p w:rsidR="00B31D72" w:rsidRPr="005D1391" w:rsidRDefault="00B31D72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color w:val="000000"/>
          <w:sz w:val="32"/>
          <w:szCs w:val="32"/>
          <w:lang w:eastAsia="ru-RU"/>
        </w:rPr>
      </w:pPr>
      <w:r w:rsidRPr="00B31D72">
        <w:rPr>
          <w:rFonts w:ascii="PT Astra Serif" w:eastAsia="Times New Roman" w:hAnsi="PT Astra Serif" w:cs="Arial"/>
          <w:b/>
          <w:color w:val="000000"/>
          <w:sz w:val="32"/>
          <w:szCs w:val="32"/>
          <w:bdr w:val="none" w:sz="0" w:space="0" w:color="auto" w:frame="1"/>
          <w:lang w:eastAsia="ru-RU"/>
        </w:rPr>
        <w:t>Унифицирована система запретов на допуск к закупкам иностранных товаров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 1 мая 2020 года вместо многочисленных подзаконных актов, которые регулировали запреты на допуск к закупкам отдельных категорий товаров, действует единый документ – постановление Правительства РФ от 30.04.2020 № 616.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Указанным постановлением утвержден перечень промышленных товаров, происходящих из иностранных государств (за исключением государств – членов ЕАЭС), в отношении которых устанавливается запрет на допуск. Перечень включает 125 позиций и во многом дублирует списки из нескольких старых нормативных актов, но есть и нововведения.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В перечень, в частности, вошли:</w:t>
      </w:r>
    </w:p>
    <w:p w:rsidR="005D1391" w:rsidRPr="005D1391" w:rsidRDefault="005D1391" w:rsidP="005D1391">
      <w:pPr>
        <w:numPr>
          <w:ilvl w:val="0"/>
          <w:numId w:val="6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товары легкой промышленности (перечень товаров за некоторыми исключениями дублирует прежний перечень, который был утвержден утратившим силу постановлением Правительства РФ от 11.08.2014 № 791);</w:t>
      </w:r>
    </w:p>
    <w:p w:rsidR="005D1391" w:rsidRPr="005D1391" w:rsidRDefault="005D1391" w:rsidP="005D1391">
      <w:pPr>
        <w:numPr>
          <w:ilvl w:val="0"/>
          <w:numId w:val="6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товары </w:t>
      </w:r>
      <w:proofErr w:type="spell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станкоинструментальной</w:t>
      </w:r>
      <w:proofErr w:type="spell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(ранее запрет применялся только в закупках для нужд обороны и безопасности, теперь – для всех закупок; при этом перечень товаров несколько расширен по сравнению с прежним перечнем, который был утвержден утратившим силу постановлением Правительства РФ от 07.03.2019 № 239);</w:t>
      </w:r>
    </w:p>
    <w:p w:rsidR="005D1391" w:rsidRPr="005D1391" w:rsidRDefault="005D1391" w:rsidP="005D1391">
      <w:pPr>
        <w:numPr>
          <w:ilvl w:val="0"/>
          <w:numId w:val="6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товары мебельной и деревообрабатывающей промышленности (аналогичный запрет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на те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же виды продукции действовал до 1 декабря 2019 года на основании утратившего силу постановления Правительства РФ от 05.09.2017 № 1072);</w:t>
      </w:r>
    </w:p>
    <w:p w:rsidR="005D1391" w:rsidRPr="005D1391" w:rsidRDefault="005D1391" w:rsidP="005D1391">
      <w:pPr>
        <w:numPr>
          <w:ilvl w:val="0"/>
          <w:numId w:val="6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товары машиностроения (перечень товаров несколько расширен по сравнению с прежним перечнем, при этом в отношении транспортных средств до 1 июля 2020 года применяются старые правила – продолжает действовать постановление Правительства РФ от 14.07.2014 № 656);</w:t>
      </w:r>
    </w:p>
    <w:p w:rsidR="005D1391" w:rsidRPr="005D1391" w:rsidRDefault="005D1391" w:rsidP="005D1391">
      <w:pPr>
        <w:numPr>
          <w:ilvl w:val="0"/>
          <w:numId w:val="6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некоторые другие товары, в отношении которых ранее применялись только условия допуска, предусмотренные приказом Минфина России от 04.06.2018 № 126н.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Отменены ограничения допуска спортивного огнестрельного оружия, запчастей и боеприпасов к нему (признано утратившим силу постановление Правительства РФ от 20.09.2018 № 1119).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В отношении закупок для нужд обороны страны и безопасности государства запрет установлен на все иностранные товары, а также на работы и услуги, выполняемые или оказываемые иностранными лицами.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Запреты </w:t>
      </w:r>
      <w:proofErr w:type="gramStart"/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распространяются</w:t>
      </w:r>
      <w:proofErr w:type="gramEnd"/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 том числе и на товары, поставляемые заказчику при выполнении работ, оказании услуг. Предметом одного контракта не могут быть товары, включенные в перечень, и не включенные в него (за исключением закупок по </w:t>
      </w:r>
      <w:proofErr w:type="spellStart"/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гособоронзаказу</w:t>
      </w:r>
      <w:proofErr w:type="spellEnd"/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Установлены исключения, когда запреты не применяются:</w:t>
      </w:r>
    </w:p>
    <w:p w:rsidR="005D1391" w:rsidRPr="005D1391" w:rsidRDefault="005D1391" w:rsidP="005D1391">
      <w:pPr>
        <w:numPr>
          <w:ilvl w:val="0"/>
          <w:numId w:val="7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если товар не производится на территории РФ (это необходимо подтвердить разрешением </w:t>
      </w:r>
      <w:proofErr w:type="spell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Минпромторга</w:t>
      </w:r>
      <w:proofErr w:type="spell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получаемым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ГИСП, а при закупках для нужд обороны и безопасности – это подтверждает заказчик самостоятельно);</w:t>
      </w:r>
    </w:p>
    <w:p w:rsidR="005D1391" w:rsidRPr="005D1391" w:rsidRDefault="005D1391" w:rsidP="005D1391">
      <w:pPr>
        <w:numPr>
          <w:ilvl w:val="0"/>
          <w:numId w:val="7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если одна единица товара стоит не более 100 тысяч рублей и закупается совокупность таких товаров, суммарная стоимость которых составляет менее 1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 (за исключением закупок ряда товаров, в частности, текстильной продукции);</w:t>
      </w:r>
    </w:p>
    <w:p w:rsidR="005D1391" w:rsidRPr="005D1391" w:rsidRDefault="005D1391" w:rsidP="005D1391">
      <w:pPr>
        <w:numPr>
          <w:ilvl w:val="0"/>
          <w:numId w:val="7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если закупается товар определенного товарного знака для обеспечения его совместимости с другими товарами (за исключением некоторых видов оборудования);</w:t>
      </w:r>
    </w:p>
    <w:p w:rsidR="005D1391" w:rsidRPr="005D1391" w:rsidRDefault="005D1391" w:rsidP="005D1391">
      <w:pPr>
        <w:numPr>
          <w:ilvl w:val="0"/>
          <w:numId w:val="7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если закупаются запчасти и расходные материалы к отдельным видам машин и оборудования;</w:t>
      </w:r>
    </w:p>
    <w:p w:rsidR="005D1391" w:rsidRPr="005D1391" w:rsidRDefault="005D1391" w:rsidP="005D1391">
      <w:pPr>
        <w:numPr>
          <w:ilvl w:val="0"/>
          <w:numId w:val="7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в ряде других случаев, когда закупку проводят ФСБ, ФСО, Служба внешней разведки, МВД и некоторые другие государственные органы.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Подтверждать производство продукции на территории РФ участник будет сведениями из реестра российской промышленной продукции, а также реестра евразийской промышленной продукции. В составе заявки участник должен предоставить выписку из соответствующего реестра с указанием номера реестровой записи. Ведение реестров и утверждение порядка работы с ними возложено на </w:t>
      </w:r>
      <w:proofErr w:type="spell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Минпромторг</w:t>
      </w:r>
      <w:proofErr w:type="spell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Помимо изложенного, при закупке отдельных видов продукции (в частности, текстильной промышленности, изделий из меха и кожи) заказчик должен установить дополнительные требования к участникам. При производстве таких промышленных товаров, и (или) выполнении работ, и (или) оказании услуг должны быть использованы материалы или полуфабрикаты, страной происхождения которых является РФ и (или) государство - член ЕАЭС (за исключением случая, если в РФ и ЕАЭС такое сырье не производят).</w:t>
      </w:r>
    </w:p>
    <w:p w:rsid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7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30.04.2020 № 616</w:t>
        </w:r>
      </w:hyperlink>
    </w:p>
    <w:p w:rsidR="00B31D72" w:rsidRPr="005D1391" w:rsidRDefault="00B31D72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color w:val="000000"/>
          <w:sz w:val="32"/>
          <w:szCs w:val="32"/>
          <w:lang w:eastAsia="ru-RU"/>
        </w:rPr>
      </w:pPr>
      <w:r w:rsidRPr="00B31D72">
        <w:rPr>
          <w:rFonts w:ascii="PT Astra Serif" w:eastAsia="Times New Roman" w:hAnsi="PT Astra Serif" w:cs="Arial"/>
          <w:b/>
          <w:color w:val="000000"/>
          <w:sz w:val="32"/>
          <w:szCs w:val="32"/>
          <w:bdr w:val="none" w:sz="0" w:space="0" w:color="auto" w:frame="1"/>
          <w:lang w:eastAsia="ru-RU"/>
        </w:rPr>
        <w:t>Установлены дополнительные ограничения на закупку иностранных товаров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 1 мая 2020 года вступил в силу новый перечень отдельных видов промышленных товаров, происходящих из иностранных государств (за исключением государств – членов ЕАЭС), в отношении которых устанавливаются ограничения допуска для целей осуществления закупок.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Всего в перечень вошло 174 вида товаров, среди которых есть продукция, закупаемая большинством заказчиков (в частности, блокноты, записные книжки, канцелярские принадлежности из бумаги и картона, моющие и стиральные средства, канцелярские или школьные пластмассовые принадлежности и др.)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Заказчик отклоняет все заявки, содержащие предложения о поставке таких иностранных товаров (за исключением товаров из государств - членов ЕАЭС), при условии, что на участие в закупке подано не менее 2 заявок, в которых предложены товары только из государств - членов ЕАЭС, и при этом предложенные товары не относятся к товарам одного и того же вида одного производителя (правило «третий лишний»).</w:t>
      </w:r>
      <w:proofErr w:type="gramEnd"/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Ограничения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распространяются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том числе и на товары, поставляемые заказчику при выполнении работ, оказании услуг.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Для подтверждения страны происхождения участник закупки должен предоставить в заявке информацию о включении товара в реестр российской промышленной продукции. При исполнении контракта участник закупки предоставляет выписку из указанного реестра или копию сертификата на товар по форме СТ-1.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В случае если заявка не отклоняется в соответствии с установленными ограничениями, применяются условия допуска, предусмотренные приказом Минфина России от 04.06.2018 № 126н.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Дополнительно установлено, что предметом одного контракта не могут быть товары, включенные в перечень, и не включенные в него. При этом запрещено закупать вместе музыкальные инструменты и звуковое оборудование, входящие в различные производственные группы, а также другие отдельные виды промышленных товаров.</w:t>
      </w:r>
    </w:p>
    <w:p w:rsid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8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30.04.2020 № 617</w:t>
        </w:r>
      </w:hyperlink>
    </w:p>
    <w:p w:rsidR="00B31D72" w:rsidRPr="005D1391" w:rsidRDefault="00B31D72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Увеличены предельные суммы авансов по контрактам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Соответствующие изменения внесены в постановление Правительства РФ об особенностях реализации закона о федеральном бюджете.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В государственных контрактах для федеральных нужд, заключаемых в 2020 году, заказчики могут устанавливать аванс в размере до 50 % цены контракта. Ранее предельный размер такого аванса составлял 30 %.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 31 декабря 2020 года приостановлен запрет на установление аванса в контрактах на закупки для федеральных нужд отдельных видов товаров и услуг. Таким образом, до конца года при закупке за счет федерального бюджета товаров и услуг из перечня, утвержденного Распоряжением Правительства РФ от 16.01.2018 № 21-р, можно устанавливать авансовые платежи.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Кроме того, в 2020 году аванс в размере до 50 % цены контракта можно предусмотреть в контрактах на строительство, реконструкцию и капитальный ремонт региональных и муниципальных объектов капитального строительства, если для их строительства предоставлены субсидии из федерального бюджета.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Изменения вступают в силу 11 мая 2020 года.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9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30.04.2020 № 630</w:t>
        </w:r>
      </w:hyperlink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 (изменения внесены в постановление Правительства РФ от 24.12.2019 № 1803)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Минстрой установил порядок определения НМЦК и порядок изменения цены контракта на строительство «под ключ»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 1 мая 2020 года для закупок на строительство «под ключ» (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особенности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осуществления которых предусмотрены частями 56 – 63 статьи 112 Закона № 44-ФЗ) установлен порядок определения НМЦК, методика составления сметы контракта, а также порядок изменения цены контракта.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Нововведения подлежат применению, если предметом контракта одновременно является:</w:t>
      </w:r>
    </w:p>
    <w:p w:rsidR="005D1391" w:rsidRPr="005D1391" w:rsidRDefault="005D1391" w:rsidP="005D1391">
      <w:pPr>
        <w:numPr>
          <w:ilvl w:val="0"/>
          <w:numId w:val="8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подготовка проектной документации и (или) выполнение инженерных изысканий;</w:t>
      </w:r>
    </w:p>
    <w:p w:rsidR="005D1391" w:rsidRPr="005D1391" w:rsidRDefault="005D1391" w:rsidP="005D1391">
      <w:pPr>
        <w:numPr>
          <w:ilvl w:val="0"/>
          <w:numId w:val="8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выполнение работ по строительству, реконструкции и (или) капитальному ремонту объекта капитального строительства (ОКС).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Также в предмет такого контракта может входить поставка оборудования для оснащения ОКС.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Объект при этом должен быть включен в перечень ОКС, утвержденный Правительством РФ, высшим исполнительным органом государственной власти субъекта РФ, местной администрацией.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3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Порядок определения НМЦК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При определении НМЦК, в целом по объекту закупки, в расчет включаются отдельными строками затраты на каждый вид работ (подготовка проекта, инженерные изыскания, строительство, поставка оборудования).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Затраты определяются следующим образом:</w:t>
      </w:r>
    </w:p>
    <w:p w:rsidR="005D1391" w:rsidRPr="005D1391" w:rsidRDefault="005D1391" w:rsidP="005D1391">
      <w:pPr>
        <w:numPr>
          <w:ilvl w:val="0"/>
          <w:numId w:val="9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затраты на выполнение подрядных работ определяются на основании расчетов, выполненных с использованием укрупненных нормативов цены строительства (данные необходимо брать из Отдела 2 соответствующего сборника нормативных цен строительства);</w:t>
      </w:r>
    </w:p>
    <w:p w:rsidR="005D1391" w:rsidRPr="005D1391" w:rsidRDefault="005D1391" w:rsidP="005D1391">
      <w:pPr>
        <w:numPr>
          <w:ilvl w:val="0"/>
          <w:numId w:val="9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затраты на поставку оборудования (если поставка предусмотрена контрактом) рассчитываются в уровне цен периода исполнения контракта. Стоимость оборудования определяется заказчиком методом анализа рынка на основании информации о рыночных ценах идентичного оборудования, а при их отсутствии – о стоимости аналогичного оборудования.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Результат определения НМЦК оформляется протоколом (рекомендуемые образцы оформления расчета НМЦК и протокола расчета НМЦК утверждены приказом Минстроя).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3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Методика составления сметы контракта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Смета контракта является основанием для формирования первичных учетных документов, предусмотренных законодательством РФ о бухгалтерском и налоговом учете.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Составление сметы контракта осуществляется без использования сметных нормативов и сметных цен строительных ресурсов.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Составление сметы контракта осуществляется на основании проекта сметы контракта. В свою очередь, проект сметы контракта составляется в соответствии с ранее утвержденным Минстроем порядком (приказ Минстроя России от 27.12.2019 № 841/</w:t>
      </w:r>
      <w:proofErr w:type="spellStart"/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proofErr w:type="spellEnd"/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). При этом стоимость проектирования, инженерных изысканий и поставки оборудования выделяются отдельной строкой сметы.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Смета контракта должна содержать наименования конструктивных решений (элементов), комплексов (видов) работ, их цены на принятую единицу измерения, и общую стоимость, определенную с учетом подлежащих выполнению объемов работ.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3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Порядок изменения цены контракта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Порядок применяется в следующих случаях:</w:t>
      </w:r>
    </w:p>
    <w:p w:rsidR="005D1391" w:rsidRPr="005D1391" w:rsidRDefault="005D1391" w:rsidP="005D1391">
      <w:pPr>
        <w:numPr>
          <w:ilvl w:val="0"/>
          <w:numId w:val="10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если сметная стоимость превысила цену контракта (что является основанием для изменения существенных условий контракта по соглашению сторон в соответствии с подпунктом «а» пункта 1 части 62 статьи 112 Закона № 44-ФЗ);</w:t>
      </w:r>
    </w:p>
    <w:p w:rsidR="005D1391" w:rsidRPr="005D1391" w:rsidRDefault="005D1391" w:rsidP="005D1391">
      <w:pPr>
        <w:numPr>
          <w:ilvl w:val="0"/>
          <w:numId w:val="10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если цена контракта превысила сметную стоимость (что является безусловным основанием для изменения существенных условий контракта в соответствии с пунктом 2 части 62 статьи 112 Закона № 44-ФЗ).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Изменение цены контракта осуществляется только после подготовки проектной документации и (или) выполнения инженерных изысканий, а также получения положительного заключения экспертизы сметной стоимости. Изменение цены контракта оформляется дополнительным соглашением к контракту.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Изменение цены контракта осуществляется с применением индексов фактической и прогнозной инфляции по формулам, установленным приказом Минстроя.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Напомним, что при превышении сметной стоимости над ценой контракта цена контракта может быть увеличена не более чем на 30% (подпункт «а» пункта 1 части 62 статьи 112 Закона № 44-ФЗ).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0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Приказ Минстроя России от 30.03.2020 № 175/</w:t>
        </w:r>
        <w:proofErr w:type="spellStart"/>
        <w:proofErr w:type="gramStart"/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Уточнен порядок включения в реестр контрактов информации о стране происхождения товара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 22 апреля 2020 года вступили в силу уточнения в правила направления в реестр контрактов информации о стране происхождения товара. Изменения применяются в отношении контрактов на выполнение работ по строительству, реконструкции, капремонту, сносу объекта капитального строительства:</w:t>
      </w:r>
    </w:p>
    <w:p w:rsidR="005D1391" w:rsidRPr="005D1391" w:rsidRDefault="005D1391" w:rsidP="005D1391">
      <w:pPr>
        <w:numPr>
          <w:ilvl w:val="0"/>
          <w:numId w:val="11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направлять в реестр контрактов сведения о стране происхождения товара необходимо только в том случае, если этот товар можно принять к бухгалтерскому учету как отдельный объект основных средств;</w:t>
      </w:r>
      <w:proofErr w:type="gramEnd"/>
    </w:p>
    <w:p w:rsidR="005D1391" w:rsidRPr="005D1391" w:rsidRDefault="005D1391" w:rsidP="005D1391">
      <w:pPr>
        <w:numPr>
          <w:ilvl w:val="0"/>
          <w:numId w:val="11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если закупка проводилась в форме электронного аукциона с проектной документацией (в соответствии с пунктом 8 части 1 статьи 33 Закона № 44-ФЗ), направлять информацию о стране происхождения товара в реестр контрактов не требуется.</w:t>
      </w:r>
    </w:p>
    <w:p w:rsid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1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16.04.2020 № 523</w:t>
        </w:r>
      </w:hyperlink>
    </w:p>
    <w:p w:rsidR="00B31D72" w:rsidRPr="005D1391" w:rsidRDefault="00B31D72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Изменены правила расчета НМЦК для закупок одноразовых медицинских изделий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 27 апреля 2020 года вступили в силу изменения в методику расчета НМЦК на поставку одноразовых медицинских изделий из ПВХ, происходящих из иностранных государств, в отношении которых установлены ограничения допуска.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Изменения коснулись порядка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определения степени локализации производства медицинских изделий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Приказ Минздрава России, </w:t>
      </w:r>
      <w:proofErr w:type="spell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Минпромторга</w:t>
      </w:r>
      <w:proofErr w:type="spell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10.03.2020 № 154н/749</w:t>
      </w:r>
    </w:p>
    <w:p w:rsidR="00B31D72" w:rsidRPr="005D1391" w:rsidRDefault="00B31D72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Сдвинуты сроки вступления в силу требований к автобусам для перевозки детей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Дополнительные требования, предусмотренные позицией 5 приложения 1 к постановлению Правительства РФ от 04.02.2015 № 99 (оказание услуг по организованной перевозке групп детей автобусами), не применяются:</w:t>
      </w:r>
    </w:p>
    <w:p w:rsidR="005D1391" w:rsidRPr="005D1391" w:rsidRDefault="005D1391" w:rsidP="005D1391">
      <w:pPr>
        <w:numPr>
          <w:ilvl w:val="0"/>
          <w:numId w:val="12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в части года выпуска автобусов – до 30.06.2021;</w:t>
      </w:r>
    </w:p>
    <w:p w:rsidR="005D1391" w:rsidRPr="005D1391" w:rsidRDefault="005D1391" w:rsidP="005D1391">
      <w:pPr>
        <w:numPr>
          <w:ilvl w:val="0"/>
          <w:numId w:val="12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в части оснащения автобусов аппаратурой спутниковой навигации ГЛОНАСС или ГЛОНАСС/GPS – до 31.05.2021.</w:t>
      </w:r>
    </w:p>
    <w:p w:rsid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2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28.04.2020 № 597</w:t>
        </w:r>
      </w:hyperlink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 (изменения внесены в постановление Правительства РФ от 15.06.2019 № 772).</w:t>
      </w:r>
    </w:p>
    <w:p w:rsidR="00B31D72" w:rsidRPr="005D1391" w:rsidRDefault="00B31D72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закупок смогут просматривать реестр банковских гарантий в ЕИС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 6 мая 2020 года в личном кабинете участников закупок ЕИС реализована возможность просмотра сведений из реестра банковских гарантий.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Участники закупок могут в режиме реального времени отслеживать включение банками в реестр информации о выданных им банковских гарантиях для обеспечения участия в электронных процедурах, а также проверять наличие в реестре гарантий, выданных под обеспечение исполнения контракта или гарантийных обязательств.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3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Информационное сообщение на сайте ЕИС от 06.05.2020</w:t>
        </w:r>
      </w:hyperlink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Правительство определило дополнительные случаи проведения закупок у единственного поставщика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 31 декабря 2020 года включительно закупка у единственного поставщика (подрядчика, исполнителя) в дополнение к случаям, предусмотренным частью 1 статьи 93 Закона № 44-ФЗ, может осуществляться заказчиком в особых случаях, установленных Правительством РФ.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 таким случаям относится, в частности, закупка у поставщика, определенного протоколом заседания Правительства РФ, протоколами координационных и совещательных органов при Председателе Правительства РФ, планом первоочередных мероприятий по обеспечению устойчивого развития экономики в условиях ухудшения ситуации в связи с </w:t>
      </w:r>
      <w:proofErr w:type="spell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коронавирусом</w:t>
      </w:r>
      <w:proofErr w:type="spell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  <w:t>Также указанными документами может быть предусмотрена конкретная закупка, которую можно провести у единственного поставщика.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Закупка для федеральных нужд может быть осуществлена у единственного поставщика, определенного поручением Председателя Правительства РФ в целях реализации решений Координационного совета при Правительстве РФ по борьбе с </w:t>
      </w:r>
      <w:proofErr w:type="spell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коронавирусом</w:t>
      </w:r>
      <w:proofErr w:type="spell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, а также в целях реализации плана первоочередных мероприятий по обеспечению устойчивого развития экономики.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Также может быть осуществлена закупка у единственного поставщика за счет средств резервного фонда Правительства РФ, резервных фондов высших исполнительных органов государственной власти субъектов РФ.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Заключаемый контракт должен содержать одно из предусмотренных оснований проведения закупки у единственного поставщика, а также обоснование цены такого контракта. Не позднее трех дней после заключения контракта уведомление о закупке и копия контракта должны быть направлены заказчиком в контрольный орган.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Постановление вступило в силу с 10 мая 2020 года.</w:t>
      </w:r>
    </w:p>
    <w:p w:rsid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4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08.05.2020 № 647</w:t>
        </w:r>
      </w:hyperlink>
    </w:p>
    <w:p w:rsidR="00B31D72" w:rsidRPr="005D1391" w:rsidRDefault="00B31D72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Конституционный суд постановил внести изменения в правила включения в РНП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9 апреля 2020 года признана не соответствующей Конституции РФ норма Закона № 44-ФЗ о включении в реестр недобросовестных поставщиков информации об учредителях юридического лица, которые не являются его участниками к моменту заключения и исполнения этим юридическим лицом контракта.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Согласно постановлению Конституционного Суда РФ, федеральному законодателю надлежит внести изменения в действующее правовое регулирование, а именно в пункт 2 части 3 статьи 104 Закона № 44-ФЗ.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Поводом к рассмотрению дела явилась жалоба гражданина РФ, сведения о котором были включены в РНП, несмотря на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то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что на момент заключения контракта гражданин РФ не являлся участником юридического лица – исполнителя по контракту.</w:t>
      </w:r>
    </w:p>
    <w:p w:rsid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5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Конституционного Суда РФ от 09.04.2020 № 16-П</w:t>
        </w:r>
      </w:hyperlink>
    </w:p>
    <w:p w:rsidR="00B31D72" w:rsidRPr="005D1391" w:rsidRDefault="00B31D72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ФАС разъяснила последствия отмены закупки в связи с отзывом финансирования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В информационном письме от 24 апреля 2020 года Федеральная антимонопольная служба сообщила, что при рассмотрении жалоб территориальным органам ФАС следует учитывать наличие причинно-следственной связи между отзывом финансирования, ранее доведенного до заказчика, и отменой закупки.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Речь в письме идет об отмене закупок в нарушение установленных Законом № 44-ФЗ сроков, когда такая отмена связана с перераспределением бюджета на другие цели – на обеспечение мероприятий по борьбе с </w:t>
      </w:r>
      <w:proofErr w:type="spell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коронавирусом</w:t>
      </w:r>
      <w:proofErr w:type="spell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если у заказчика было отозвано финансирование из-за перераспределения средств на мероприятия для борьбы с </w:t>
      </w:r>
      <w:proofErr w:type="spell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коронавирусом</w:t>
      </w:r>
      <w:proofErr w:type="spell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, то отмена закупки с нарушением срока не будет основанием для выдачи предписания и привлечения заказчика к административной ответственности.</w:t>
      </w:r>
    </w:p>
    <w:p w:rsid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6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Письмо ФАС России от 24.04.2020 № ИА/35242/20</w:t>
        </w:r>
      </w:hyperlink>
    </w:p>
    <w:p w:rsidR="00B31D72" w:rsidRPr="005D1391" w:rsidRDefault="00B31D72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ФАС выработала критерии формирования лотов на содержание, ремонт автомобильных дорог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Федеральная антимонопольная служба сформулировала критерии, нарушение которых в совокупности означает, что лот закупки сформирован неправомерно.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При закупке работ по содержанию/ремонту автомобильных дорог города такими критериями являются:</w:t>
      </w:r>
    </w:p>
    <w:p w:rsidR="005D1391" w:rsidRPr="005D1391" w:rsidRDefault="005D1391" w:rsidP="005D1391">
      <w:pPr>
        <w:numPr>
          <w:ilvl w:val="0"/>
          <w:numId w:val="13"/>
        </w:numPr>
        <w:shd w:val="clear" w:color="auto" w:fill="EEF2F5"/>
        <w:spacing w:after="0" w:line="240" w:lineRule="auto"/>
        <w:ind w:left="67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для города с численностью населения не более 1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жителей – НМЦК одного лота не должна превышать 1 млрд рублей;</w:t>
      </w:r>
    </w:p>
    <w:p w:rsidR="005D1391" w:rsidRPr="005D1391" w:rsidRDefault="005D1391" w:rsidP="005D1391">
      <w:pPr>
        <w:numPr>
          <w:ilvl w:val="0"/>
          <w:numId w:val="13"/>
        </w:numPr>
        <w:shd w:val="clear" w:color="auto" w:fill="EEF2F5"/>
        <w:spacing w:after="0" w:line="240" w:lineRule="auto"/>
        <w:ind w:left="67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для города с численностью населения более 1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жителей – НМЦК одного лота не должна превышать 1,5 млрд рублей;</w:t>
      </w:r>
    </w:p>
    <w:p w:rsidR="005D1391" w:rsidRPr="005D1391" w:rsidRDefault="005D1391" w:rsidP="005D1391">
      <w:pPr>
        <w:numPr>
          <w:ilvl w:val="0"/>
          <w:numId w:val="13"/>
        </w:numPr>
        <w:shd w:val="clear" w:color="auto" w:fill="EEF2F5"/>
        <w:spacing w:after="0" w:line="240" w:lineRule="auto"/>
        <w:ind w:left="67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срок исполнения обязательств по контракту должен составлять не менее 6 месяцев.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При закупке работ по содержанию/ремонту автомобильных дорог субъекта РФ такими критериями являются:</w:t>
      </w:r>
    </w:p>
    <w:p w:rsidR="005D1391" w:rsidRPr="005D1391" w:rsidRDefault="005D1391" w:rsidP="005D1391">
      <w:pPr>
        <w:numPr>
          <w:ilvl w:val="0"/>
          <w:numId w:val="14"/>
        </w:numPr>
        <w:shd w:val="clear" w:color="auto" w:fill="EEF2F5"/>
        <w:spacing w:after="0" w:line="240" w:lineRule="auto"/>
        <w:ind w:left="67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для I – III климатической зоны – юг России (тропическая зона), запад и северо-запад страны, территория Приморья (субтропическая зона), южные районы Сибири и часть Дальнего Востока (умеренная зона) – НМЦК одного лота не должна превышать 1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млрд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рублей;</w:t>
      </w:r>
    </w:p>
    <w:p w:rsidR="005D1391" w:rsidRPr="005D1391" w:rsidRDefault="005D1391" w:rsidP="005D1391">
      <w:pPr>
        <w:numPr>
          <w:ilvl w:val="0"/>
          <w:numId w:val="14"/>
        </w:numPr>
        <w:shd w:val="clear" w:color="auto" w:fill="EEF2F5"/>
        <w:spacing w:after="0" w:line="240" w:lineRule="auto"/>
        <w:ind w:left="67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для IV и Особой климатической зоны – Якутия, северная Сибирь, северные районы Дальнего Востока (полярная зона), район Чукотки и Заполярье – НМЦК одного лота не должна превышать 1,4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млрд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рублей;</w:t>
      </w:r>
    </w:p>
    <w:p w:rsidR="005D1391" w:rsidRPr="005D1391" w:rsidRDefault="005D1391" w:rsidP="005D1391">
      <w:pPr>
        <w:numPr>
          <w:ilvl w:val="0"/>
          <w:numId w:val="14"/>
        </w:numPr>
        <w:shd w:val="clear" w:color="auto" w:fill="EEF2F5"/>
        <w:spacing w:after="0" w:line="240" w:lineRule="auto"/>
        <w:ind w:left="67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для субъекта РФ, численность населения столицы которого составляет более 1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жителей, НМЦК одного лота не должна превышать 1,5 млрд рублей;</w:t>
      </w:r>
    </w:p>
    <w:p w:rsidR="005D1391" w:rsidRPr="005D1391" w:rsidRDefault="005D1391" w:rsidP="005D1391">
      <w:pPr>
        <w:numPr>
          <w:ilvl w:val="0"/>
          <w:numId w:val="14"/>
        </w:numPr>
        <w:shd w:val="clear" w:color="auto" w:fill="EEF2F5"/>
        <w:spacing w:after="0" w:line="240" w:lineRule="auto"/>
        <w:ind w:left="67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для городов федерального значения Москва и Санкт-Петербург НМЦК одного лота не должна превышать 3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млрд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рублей;</w:t>
      </w:r>
    </w:p>
    <w:p w:rsidR="005D1391" w:rsidRPr="005D1391" w:rsidRDefault="005D1391" w:rsidP="005D1391">
      <w:pPr>
        <w:numPr>
          <w:ilvl w:val="0"/>
          <w:numId w:val="14"/>
        </w:numPr>
        <w:shd w:val="clear" w:color="auto" w:fill="EEF2F5"/>
        <w:spacing w:after="0" w:line="240" w:lineRule="auto"/>
        <w:ind w:left="67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срок исполнения обязательств по контракту должен составлять не менее 6 месяцев.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Предполагается, что территориальные органы ФАС России будут руководствоваться указанными критериями при рассмотрении жалоб и проведении проверок.</w:t>
      </w:r>
    </w:p>
    <w:p w:rsid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7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Письмо ФАС России от 24.04.2020 № ИА/35241/20</w:t>
        </w:r>
      </w:hyperlink>
    </w:p>
    <w:p w:rsidR="00B31D72" w:rsidRPr="005D1391" w:rsidRDefault="00B31D72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outlineLvl w:val="3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31D72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ФАС выработала критерии формирования лотов при закупке модульных фельдшерско-акушерских и ветеринарных пунктов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Федеральная антимонопольная служба сформулировала критерии, нарушение которых в совокупности означает, что лот закупки сформирован неправомерно:</w:t>
      </w:r>
    </w:p>
    <w:p w:rsidR="005D1391" w:rsidRPr="005D1391" w:rsidRDefault="005D1391" w:rsidP="005D1391">
      <w:pPr>
        <w:numPr>
          <w:ilvl w:val="0"/>
          <w:numId w:val="15"/>
        </w:numPr>
        <w:shd w:val="clear" w:color="auto" w:fill="EEF2F5"/>
        <w:spacing w:after="0"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в один лот не должна включаться поставка модульных фельдшерско-акушерских и ветеринарных пунктов более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чем в одном субъекте РФ;</w:t>
      </w:r>
    </w:p>
    <w:p w:rsidR="005D1391" w:rsidRPr="005D1391" w:rsidRDefault="005D1391" w:rsidP="005D1391">
      <w:pPr>
        <w:numPr>
          <w:ilvl w:val="0"/>
          <w:numId w:val="15"/>
        </w:numPr>
        <w:shd w:val="clear" w:color="auto" w:fill="EEF2F5"/>
        <w:spacing w:line="420" w:lineRule="atLeast"/>
        <w:ind w:left="225" w:right="2085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НМЦК одного лота не должна превышать 500 </w:t>
      </w:r>
      <w:proofErr w:type="gramStart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Предполагается, что территориальные органы ФАС России будут руководствоваться указанными критериями при рассмотрении жалоб и проведении проверок.</w:t>
      </w:r>
    </w:p>
    <w:p w:rsidR="005D1391" w:rsidRPr="005D1391" w:rsidRDefault="005D1391" w:rsidP="005D1391">
      <w:pPr>
        <w:shd w:val="clear" w:color="auto" w:fill="EEF2F5"/>
        <w:spacing w:after="0" w:line="240" w:lineRule="auto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t>Документ:</w:t>
      </w:r>
      <w:r w:rsidRPr="005D1391"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8" w:history="1">
        <w:r w:rsidRPr="00B31D72">
          <w:rPr>
            <w:rFonts w:ascii="PT Astra Serif" w:eastAsia="Times New Roman" w:hAnsi="PT Astra Serif" w:cs="Arial"/>
            <w:color w:val="316DA4"/>
            <w:sz w:val="28"/>
            <w:szCs w:val="28"/>
            <w:u w:val="single"/>
            <w:bdr w:val="none" w:sz="0" w:space="0" w:color="auto" w:frame="1"/>
            <w:lang w:eastAsia="ru-RU"/>
          </w:rPr>
          <w:t>Письмо ФАС России от 24.04.2020 № ИА/35239/20</w:t>
        </w:r>
      </w:hyperlink>
    </w:p>
    <w:p w:rsidR="00840574" w:rsidRPr="00B31D72" w:rsidRDefault="00840574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840574" w:rsidRPr="00B3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2E4"/>
    <w:multiLevelType w:val="multilevel"/>
    <w:tmpl w:val="291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E423B"/>
    <w:multiLevelType w:val="multilevel"/>
    <w:tmpl w:val="4B2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85876"/>
    <w:multiLevelType w:val="multilevel"/>
    <w:tmpl w:val="FCE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6030D"/>
    <w:multiLevelType w:val="multilevel"/>
    <w:tmpl w:val="767E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71FD5"/>
    <w:multiLevelType w:val="multilevel"/>
    <w:tmpl w:val="DE28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27B6A"/>
    <w:multiLevelType w:val="multilevel"/>
    <w:tmpl w:val="DA5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157C6"/>
    <w:multiLevelType w:val="multilevel"/>
    <w:tmpl w:val="276C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2290C"/>
    <w:multiLevelType w:val="multilevel"/>
    <w:tmpl w:val="C6C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A2ECA"/>
    <w:multiLevelType w:val="multilevel"/>
    <w:tmpl w:val="9386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A640C"/>
    <w:multiLevelType w:val="multilevel"/>
    <w:tmpl w:val="F4C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3383C"/>
    <w:multiLevelType w:val="multilevel"/>
    <w:tmpl w:val="4248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F432D"/>
    <w:multiLevelType w:val="multilevel"/>
    <w:tmpl w:val="D32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14E22"/>
    <w:multiLevelType w:val="multilevel"/>
    <w:tmpl w:val="562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40D5D"/>
    <w:multiLevelType w:val="multilevel"/>
    <w:tmpl w:val="DC24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6079C"/>
    <w:multiLevelType w:val="multilevel"/>
    <w:tmpl w:val="190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4D"/>
    <w:rsid w:val="002276AE"/>
    <w:rsid w:val="003360F0"/>
    <w:rsid w:val="005D1391"/>
    <w:rsid w:val="00840574"/>
    <w:rsid w:val="009F254D"/>
    <w:rsid w:val="00B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1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1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1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metablock">
    <w:name w:val="article__meta_block"/>
    <w:basedOn w:val="a0"/>
    <w:rsid w:val="005D1391"/>
  </w:style>
  <w:style w:type="character" w:styleId="a3">
    <w:name w:val="Hyperlink"/>
    <w:basedOn w:val="a0"/>
    <w:uiPriority w:val="99"/>
    <w:semiHidden/>
    <w:unhideWhenUsed/>
    <w:rsid w:val="005D13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1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1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1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metablock">
    <w:name w:val="article__meta_block"/>
    <w:basedOn w:val="a0"/>
    <w:rsid w:val="005D1391"/>
  </w:style>
  <w:style w:type="character" w:styleId="a3">
    <w:name w:val="Hyperlink"/>
    <w:basedOn w:val="a0"/>
    <w:uiPriority w:val="99"/>
    <w:semiHidden/>
    <w:unhideWhenUsed/>
    <w:rsid w:val="005D13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58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10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929">
                  <w:marLeft w:val="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537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811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66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651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116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90256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8394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327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494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7661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0433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879683/" TargetMode="External"/><Relationship Id="rId13" Type="http://schemas.openxmlformats.org/officeDocument/2006/relationships/hyperlink" Target="https://zakupki.gov.ru/epz/main/public/news/news_preview.html?newsId=30148" TargetMode="External"/><Relationship Id="rId18" Type="http://schemas.openxmlformats.org/officeDocument/2006/relationships/hyperlink" Target="http://sahalin.fas.gov.ru/news/94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3879683/" TargetMode="External"/><Relationship Id="rId12" Type="http://schemas.openxmlformats.org/officeDocument/2006/relationships/hyperlink" Target="http://publication.pravo.gov.ru/Document/View/0001202004300003" TargetMode="External"/><Relationship Id="rId17" Type="http://schemas.openxmlformats.org/officeDocument/2006/relationships/hyperlink" Target="https://fas.gov.ru/documents/6866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s.gov.ru/documents/6866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846375/" TargetMode="External"/><Relationship Id="rId11" Type="http://schemas.openxmlformats.org/officeDocument/2006/relationships/hyperlink" Target="https://www.garant.ru/products/ipo/prime/doc/738307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04130002" TargetMode="External"/><Relationship Id="rId10" Type="http://schemas.openxmlformats.org/officeDocument/2006/relationships/hyperlink" Target="http://www.consultant.ru/law/hotdocs/61790.htm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39622/" TargetMode="External"/><Relationship Id="rId14" Type="http://schemas.openxmlformats.org/officeDocument/2006/relationships/hyperlink" Target="http://publication.pravo.gov.ru/Document/View/0001202005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2020-05-21T06:18:00Z</dcterms:created>
  <dcterms:modified xsi:type="dcterms:W3CDTF">2020-05-21T06:18:00Z</dcterms:modified>
</cp:coreProperties>
</file>